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ED" w:rsidRPr="00D743AF" w:rsidRDefault="000749ED" w:rsidP="000749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</w:pPr>
      <w:proofErr w:type="gramStart"/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M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I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N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I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T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E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N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I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S </w:t>
      </w:r>
      <w:r w:rsidR="00B6279F"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 </w:t>
      </w:r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>(děti</w:t>
      </w:r>
      <w:proofErr w:type="gramEnd"/>
      <w:r w:rsidRPr="00D743AF">
        <w:rPr>
          <w:rFonts w:ascii="Times New Roman" w:eastAsia="Times New Roman" w:hAnsi="Times New Roman" w:cs="Times New Roman"/>
          <w:b/>
          <w:bCs/>
          <w:color w:val="00B050"/>
          <w:sz w:val="60"/>
          <w:szCs w:val="60"/>
          <w:u w:val="single"/>
          <w:lang w:eastAsia="cs-CZ"/>
        </w:rPr>
        <w:t xml:space="preserve"> 3–7 let)</w:t>
      </w:r>
    </w:p>
    <w:p w:rsidR="000749ED" w:rsidRPr="00B6279F" w:rsidRDefault="000749ED" w:rsidP="000749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proofErr w:type="gramStart"/>
      <w:r w:rsidRPr="00B6279F">
        <w:rPr>
          <w:rFonts w:ascii="Arial" w:eastAsia="Times New Roman" w:hAnsi="Arial" w:cs="Arial"/>
          <w:sz w:val="36"/>
          <w:szCs w:val="36"/>
          <w:lang w:eastAsia="cs-CZ"/>
        </w:rPr>
        <w:t>•</w:t>
      </w:r>
      <w:r w:rsidR="00B6279F"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t>hra</w:t>
      </w:r>
      <w:proofErr w:type="gramEnd"/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určená pro hráče 3–7 let. Hraje se přes tenisovou síť s měkkými míči, kdy se míč odráží zkrácenou raketou na druhou polovinu dvorce. Pro tuto věkovou kategorii jsou pravidla upravena.</w:t>
      </w:r>
    </w:p>
    <w:p w:rsidR="000749ED" w:rsidRPr="00D743AF" w:rsidRDefault="000749ED" w:rsidP="000749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  <w:r w:rsidRPr="00D743AF">
        <w:rPr>
          <w:rFonts w:ascii="Arial" w:eastAsia="Times New Roman" w:hAnsi="Arial" w:cs="Arial"/>
          <w:b/>
          <w:bCs/>
          <w:sz w:val="48"/>
          <w:szCs w:val="48"/>
          <w:lang w:eastAsia="cs-CZ"/>
        </w:rPr>
        <w:t xml:space="preserve">Proč </w:t>
      </w:r>
      <w:proofErr w:type="spellStart"/>
      <w:r w:rsidRPr="00D743AF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minitenis</w:t>
      </w:r>
      <w:proofErr w:type="spellEnd"/>
      <w:r w:rsidRPr="00D743AF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?</w:t>
      </w:r>
    </w:p>
    <w:p w:rsidR="000749ED" w:rsidRPr="00B6279F" w:rsidRDefault="000749ED" w:rsidP="000749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B6279F">
        <w:rPr>
          <w:rFonts w:ascii="Arial" w:eastAsia="Times New Roman" w:hAnsi="Arial" w:cs="Arial"/>
          <w:sz w:val="36"/>
          <w:szCs w:val="36"/>
          <w:lang w:eastAsia="cs-CZ"/>
        </w:rPr>
        <w:t>•</w:t>
      </w:r>
      <w:r w:rsidR="00B6279F"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proofErr w:type="spellStart"/>
      <w:r w:rsidRPr="00B6279F">
        <w:rPr>
          <w:rFonts w:ascii="Arial" w:eastAsia="Times New Roman" w:hAnsi="Arial" w:cs="Arial"/>
          <w:sz w:val="36"/>
          <w:szCs w:val="36"/>
          <w:lang w:eastAsia="cs-CZ"/>
        </w:rPr>
        <w:t>minitenis</w:t>
      </w:r>
      <w:proofErr w:type="spellEnd"/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umožňuje dětem formou hry rozvíjet všechny herní </w:t>
      </w:r>
      <w:proofErr w:type="gramStart"/>
      <w:r w:rsidRPr="00B6279F">
        <w:rPr>
          <w:rFonts w:ascii="Arial" w:eastAsia="Times New Roman" w:hAnsi="Arial" w:cs="Arial"/>
          <w:sz w:val="36"/>
          <w:szCs w:val="36"/>
          <w:lang w:eastAsia="cs-CZ"/>
        </w:rPr>
        <w:t>dovednosti.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B6279F"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t>je</w:t>
      </w:r>
      <w:proofErr w:type="gramEnd"/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při správném metodickém postupu a při postupném zdokonalování na malém dvorci pro mladé hráče nenáročný a zábavný.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B6279F"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t>používáme speciální (měkké) míče, pomocí nichž si hráči osvojí celou škálu tenisových úderů, trénují se různé herní situace, dbá se na přesnost umístění míče, neprosazuje se technika.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B6279F"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t>Hráči hrají soutěže o body prostřednictvím cvičných zápasů. Přítomnost trenéra při tréninku je důležitá v roli pozorovatele, nikoliv hrajícího trenéra.</w:t>
      </w:r>
    </w:p>
    <w:p w:rsidR="000749ED" w:rsidRPr="00D743AF" w:rsidRDefault="000749ED" w:rsidP="000749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  <w:r w:rsidRPr="00D743AF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Hra o body</w:t>
      </w:r>
    </w:p>
    <w:p w:rsidR="000749ED" w:rsidRPr="00B6279F" w:rsidRDefault="000749ED" w:rsidP="000749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proofErr w:type="gramStart"/>
      <w:r w:rsidRPr="00B6279F">
        <w:rPr>
          <w:rFonts w:ascii="Arial" w:eastAsia="Times New Roman" w:hAnsi="Arial" w:cs="Arial"/>
          <w:sz w:val="36"/>
          <w:szCs w:val="36"/>
          <w:lang w:eastAsia="cs-CZ"/>
        </w:rPr>
        <w:t>•</w:t>
      </w:r>
      <w:r w:rsidR="00B6279F"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t>zápas</w:t>
      </w:r>
      <w:proofErr w:type="gramEnd"/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v </w:t>
      </w:r>
      <w:proofErr w:type="spellStart"/>
      <w:r w:rsidRPr="00B6279F">
        <w:rPr>
          <w:rFonts w:ascii="Arial" w:eastAsia="Times New Roman" w:hAnsi="Arial" w:cs="Arial"/>
          <w:sz w:val="36"/>
          <w:szCs w:val="36"/>
          <w:lang w:eastAsia="cs-CZ"/>
        </w:rPr>
        <w:t>minitenise</w:t>
      </w:r>
      <w:proofErr w:type="spellEnd"/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se hraje do deseti bodů. Ve hře o body hrají mezi sebou chlapci s dívkami </w:t>
      </w:r>
      <w:proofErr w:type="gramStart"/>
      <w:r w:rsidRPr="00B6279F">
        <w:rPr>
          <w:rFonts w:ascii="Arial" w:eastAsia="Times New Roman" w:hAnsi="Arial" w:cs="Arial"/>
          <w:sz w:val="36"/>
          <w:szCs w:val="36"/>
          <w:lang w:eastAsia="cs-CZ"/>
        </w:rPr>
        <w:t>dohromady.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br/>
        <w:t>•</w:t>
      </w:r>
      <w:r w:rsidR="00B6279F"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B6279F">
        <w:rPr>
          <w:rFonts w:ascii="Arial" w:eastAsia="Times New Roman" w:hAnsi="Arial" w:cs="Arial"/>
          <w:sz w:val="36"/>
          <w:szCs w:val="36"/>
          <w:lang w:eastAsia="cs-CZ"/>
        </w:rPr>
        <w:t>důležité</w:t>
      </w:r>
      <w:proofErr w:type="gramEnd"/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 je vychovávat děti k fair play a naučit je vést tenisový zápas k potěšení ze hry.</w:t>
      </w:r>
    </w:p>
    <w:p w:rsidR="00B6279F" w:rsidRPr="00B6279F" w:rsidRDefault="00B6279F" w:rsidP="000749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</w:p>
    <w:p w:rsidR="000749ED" w:rsidRPr="00B6279F" w:rsidRDefault="000749ED" w:rsidP="000749ED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Pravidla  – </w:t>
      </w:r>
      <w:hyperlink r:id="rId5" w:history="1">
        <w:r w:rsidRPr="00B6279F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cs-CZ"/>
          </w:rPr>
          <w:t>www.minitenis.cz</w:t>
        </w:r>
      </w:hyperlink>
    </w:p>
    <w:p w:rsidR="00B6279F" w:rsidRPr="00B6279F" w:rsidRDefault="00B6279F" w:rsidP="00B6279F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B6279F">
        <w:rPr>
          <w:rFonts w:ascii="Arial" w:eastAsia="Times New Roman" w:hAnsi="Arial" w:cs="Arial"/>
          <w:sz w:val="36"/>
          <w:szCs w:val="36"/>
          <w:lang w:eastAsia="cs-CZ"/>
        </w:rPr>
        <w:t xml:space="preserve">Tenisové turnaje – </w:t>
      </w:r>
      <w:hyperlink r:id="rId6" w:history="1">
        <w:r w:rsidRPr="00B6279F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cs-CZ"/>
          </w:rPr>
          <w:t>www.cztenis.cz</w:t>
        </w:r>
      </w:hyperlink>
    </w:p>
    <w:p w:rsidR="008651FC" w:rsidRPr="00B6279F" w:rsidRDefault="00D743AF" w:rsidP="00B6279F">
      <w:pPr>
        <w:pStyle w:val="Normlnweb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Hr</w:t>
      </w:r>
      <w:r w:rsidR="008651FC" w:rsidRPr="00B6279F">
        <w:rPr>
          <w:rFonts w:ascii="Arial" w:hAnsi="Arial" w:cs="Arial"/>
          <w:b/>
          <w:sz w:val="36"/>
          <w:szCs w:val="36"/>
        </w:rPr>
        <w:t xml:space="preserve">aje se na dvorci pro </w:t>
      </w:r>
      <w:proofErr w:type="spellStart"/>
      <w:r w:rsidR="008651FC" w:rsidRPr="00B6279F">
        <w:rPr>
          <w:rFonts w:ascii="Arial" w:hAnsi="Arial" w:cs="Arial"/>
          <w:b/>
          <w:sz w:val="36"/>
          <w:szCs w:val="36"/>
        </w:rPr>
        <w:t>minitenis</w:t>
      </w:r>
      <w:proofErr w:type="spellEnd"/>
      <w:r w:rsidR="008651FC" w:rsidRPr="00B6279F">
        <w:rPr>
          <w:rFonts w:ascii="Arial" w:hAnsi="Arial" w:cs="Arial"/>
          <w:sz w:val="36"/>
          <w:szCs w:val="36"/>
        </w:rPr>
        <w:t xml:space="preserve"> </w:t>
      </w:r>
      <w:r w:rsidR="008651FC" w:rsidRPr="00B6279F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4762500" cy="2266950"/>
            <wp:effectExtent l="19050" t="0" r="0" b="0"/>
            <wp:docPr id="1" name="obrázek 1" descr="Mini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ten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1FC" w:rsidRPr="00B6279F">
        <w:rPr>
          <w:rFonts w:ascii="Arial" w:hAnsi="Arial" w:cs="Arial"/>
          <w:sz w:val="36"/>
          <w:szCs w:val="36"/>
        </w:rPr>
        <w:br/>
      </w:r>
      <w:r w:rsidR="008651FC" w:rsidRPr="00B6279F">
        <w:rPr>
          <w:rFonts w:ascii="Arial" w:hAnsi="Arial" w:cs="Arial"/>
          <w:sz w:val="36"/>
          <w:szCs w:val="36"/>
        </w:rPr>
        <w:br/>
        <w:t>Výška sítě cca 85 cm</w:t>
      </w:r>
    </w:p>
    <w:p w:rsidR="008651FC" w:rsidRPr="00B6279F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Hraje se na jeden nebo dva vítězné sety do deseti bodů (jednoduché počítání) - za stavu 9:9 rozhodující bod.</w:t>
      </w:r>
    </w:p>
    <w:p w:rsidR="008651FC" w:rsidRPr="00B6279F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Podání pouze jedno zespodu, jako forhend (v případě </w:t>
      </w:r>
      <w:proofErr w:type="gramStart"/>
      <w:r w:rsidRPr="00B6279F">
        <w:rPr>
          <w:rFonts w:ascii="Arial" w:hAnsi="Arial" w:cs="Arial"/>
          <w:sz w:val="36"/>
          <w:szCs w:val="36"/>
        </w:rPr>
        <w:t>teče</w:t>
      </w:r>
      <w:proofErr w:type="gramEnd"/>
      <w:r w:rsidRPr="00B6279F">
        <w:rPr>
          <w:rFonts w:ascii="Arial" w:hAnsi="Arial" w:cs="Arial"/>
          <w:sz w:val="36"/>
          <w:szCs w:val="36"/>
        </w:rPr>
        <w:t xml:space="preserve"> sítě se podání </w:t>
      </w:r>
      <w:proofErr w:type="gramStart"/>
      <w:r w:rsidRPr="00B6279F">
        <w:rPr>
          <w:rFonts w:ascii="Arial" w:hAnsi="Arial" w:cs="Arial"/>
          <w:sz w:val="36"/>
          <w:szCs w:val="36"/>
        </w:rPr>
        <w:t>opakuje</w:t>
      </w:r>
      <w:proofErr w:type="gramEnd"/>
      <w:r w:rsidRPr="00B6279F">
        <w:rPr>
          <w:rFonts w:ascii="Arial" w:hAnsi="Arial" w:cs="Arial"/>
          <w:sz w:val="36"/>
          <w:szCs w:val="36"/>
        </w:rPr>
        <w:t>).</w:t>
      </w:r>
    </w:p>
    <w:p w:rsidR="008651FC" w:rsidRPr="00B6279F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Nadhozený míč pro podání musí dopadnout za zadní čáru nebo na ni, nikoli však před zadní čáru. </w:t>
      </w:r>
    </w:p>
    <w:p w:rsidR="008651FC" w:rsidRPr="00B6279F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Podává se do pole ohraničeného čarou pro podání. </w:t>
      </w:r>
    </w:p>
    <w:p w:rsidR="008651FC" w:rsidRPr="00B6279F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Podávající hráč musí stát v momentu zásahu míče za zadní čárou. </w:t>
      </w:r>
    </w:p>
    <w:p w:rsidR="008651FC" w:rsidRPr="00B6279F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Podávající hráč se určí losem (stejně jako u normálního tenisu). Dále podává vždy ten, kdo prohrál poslední bod.</w:t>
      </w:r>
    </w:p>
    <w:p w:rsidR="008651FC" w:rsidRPr="00B6279F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Podání se musí nechat dopadnout. Dále je možno hrát na jeden dopad nebo bez dopadu (</w:t>
      </w:r>
      <w:proofErr w:type="spellStart"/>
      <w:r w:rsidRPr="00B6279F">
        <w:rPr>
          <w:rFonts w:ascii="Arial" w:hAnsi="Arial" w:cs="Arial"/>
          <w:sz w:val="36"/>
          <w:szCs w:val="36"/>
        </w:rPr>
        <w:t>volejem</w:t>
      </w:r>
      <w:proofErr w:type="spellEnd"/>
      <w:r w:rsidRPr="00B6279F">
        <w:rPr>
          <w:rFonts w:ascii="Arial" w:hAnsi="Arial" w:cs="Arial"/>
          <w:sz w:val="36"/>
          <w:szCs w:val="36"/>
        </w:rPr>
        <w:t>).</w:t>
      </w:r>
    </w:p>
    <w:p w:rsidR="008651FC" w:rsidRDefault="008651FC" w:rsidP="00B6279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Hraje se výhradně se speciálními míči pro </w:t>
      </w:r>
      <w:proofErr w:type="spellStart"/>
      <w:r w:rsidRPr="00B6279F">
        <w:rPr>
          <w:rFonts w:ascii="Arial" w:hAnsi="Arial" w:cs="Arial"/>
          <w:sz w:val="36"/>
          <w:szCs w:val="36"/>
        </w:rPr>
        <w:t>minitenis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. </w:t>
      </w:r>
    </w:p>
    <w:p w:rsidR="00D743AF" w:rsidRDefault="00D743AF" w:rsidP="00D743AF">
      <w:pPr>
        <w:pStyle w:val="Normlnweb"/>
        <w:jc w:val="both"/>
        <w:rPr>
          <w:rFonts w:ascii="Arial" w:hAnsi="Arial" w:cs="Arial"/>
          <w:sz w:val="36"/>
          <w:szCs w:val="36"/>
        </w:rPr>
      </w:pPr>
    </w:p>
    <w:p w:rsidR="00D743AF" w:rsidRDefault="00D743AF" w:rsidP="00D743AF">
      <w:pPr>
        <w:pStyle w:val="Normlnweb"/>
        <w:jc w:val="both"/>
        <w:rPr>
          <w:rFonts w:ascii="Arial" w:hAnsi="Arial" w:cs="Arial"/>
          <w:sz w:val="36"/>
          <w:szCs w:val="36"/>
        </w:rPr>
      </w:pPr>
    </w:p>
    <w:p w:rsidR="00D743AF" w:rsidRDefault="00D743AF" w:rsidP="00D743AF">
      <w:pPr>
        <w:pStyle w:val="Normlnweb"/>
        <w:jc w:val="both"/>
        <w:rPr>
          <w:rFonts w:ascii="Arial" w:hAnsi="Arial" w:cs="Arial"/>
          <w:sz w:val="36"/>
          <w:szCs w:val="36"/>
        </w:rPr>
      </w:pPr>
    </w:p>
    <w:p w:rsidR="001C6529" w:rsidRPr="00B6279F" w:rsidRDefault="001C6529" w:rsidP="001C6529">
      <w:pPr>
        <w:pStyle w:val="Normlnweb"/>
        <w:rPr>
          <w:rStyle w:val="Siln"/>
          <w:rFonts w:ascii="Arial" w:hAnsi="Arial" w:cs="Arial"/>
          <w:sz w:val="48"/>
          <w:szCs w:val="48"/>
          <w:u w:val="single"/>
        </w:rPr>
      </w:pPr>
      <w:r w:rsidRPr="00B6279F">
        <w:rPr>
          <w:rStyle w:val="Siln"/>
          <w:rFonts w:ascii="Arial" w:hAnsi="Arial" w:cs="Arial"/>
          <w:sz w:val="48"/>
          <w:szCs w:val="48"/>
          <w:u w:val="single"/>
        </w:rPr>
        <w:lastRenderedPageBreak/>
        <w:t xml:space="preserve">Soutěžní řád pro kategorie MINITENIS </w:t>
      </w:r>
    </w:p>
    <w:p w:rsidR="001C6529" w:rsidRPr="00B6279F" w:rsidRDefault="001C6529" w:rsidP="001C6529">
      <w:pPr>
        <w:pStyle w:val="Normlnweb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Všechny soutěže řídí sportovní úsek ČTS, ve spolupráci s oblastními tenisovými svazy.</w:t>
      </w:r>
    </w:p>
    <w:p w:rsidR="001C6529" w:rsidRPr="00B6279F" w:rsidRDefault="001C6529" w:rsidP="001C6529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Všechny soutěže jsou organizovány, v souladu s tímto předpisem, jako soutěže družstev a jednotlivců.</w:t>
      </w:r>
    </w:p>
    <w:p w:rsidR="001C6529" w:rsidRPr="00B6279F" w:rsidRDefault="001C6529" w:rsidP="001C6529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Věkové vymezení kategorie </w:t>
      </w:r>
      <w:proofErr w:type="spellStart"/>
      <w:r w:rsidRPr="00B6279F">
        <w:rPr>
          <w:rFonts w:ascii="Arial" w:hAnsi="Arial" w:cs="Arial"/>
          <w:sz w:val="36"/>
          <w:szCs w:val="36"/>
        </w:rPr>
        <w:t>minitenis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 – 7let a mladší</w:t>
      </w:r>
      <w:r w:rsidRPr="00B6279F">
        <w:rPr>
          <w:rFonts w:ascii="Arial" w:hAnsi="Arial" w:cs="Arial"/>
          <w:sz w:val="36"/>
          <w:szCs w:val="36"/>
        </w:rPr>
        <w:br/>
      </w:r>
    </w:p>
    <w:p w:rsidR="001C6529" w:rsidRPr="00B6279F" w:rsidRDefault="001C6529" w:rsidP="001C6529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Pro zařazení hráče do určité věkové kategorie je rozhodující věk, jehož dosáhne v tom kalendářním roce, v němž končí příslušná tenisová sezóna.</w:t>
      </w:r>
    </w:p>
    <w:p w:rsidR="001C6529" w:rsidRPr="00B6279F" w:rsidRDefault="001C6529" w:rsidP="001C6529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V kategoriích </w:t>
      </w:r>
      <w:proofErr w:type="spellStart"/>
      <w:r w:rsidRPr="00B6279F">
        <w:rPr>
          <w:rFonts w:ascii="Arial" w:hAnsi="Arial" w:cs="Arial"/>
          <w:sz w:val="36"/>
          <w:szCs w:val="36"/>
        </w:rPr>
        <w:t>minitenis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 se uskutečňuje příprava mládeže na budoucí závodní činnost a ČTS nesestavuje na základě výsledků v těchto kategoriích žádné žebříčky. </w:t>
      </w:r>
    </w:p>
    <w:p w:rsidR="001C6529" w:rsidRPr="00B6279F" w:rsidRDefault="001C6529" w:rsidP="001C6529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Ve všech soutěžích </w:t>
      </w:r>
      <w:proofErr w:type="spellStart"/>
      <w:r w:rsidRPr="00B6279F">
        <w:rPr>
          <w:rFonts w:ascii="Arial" w:hAnsi="Arial" w:cs="Arial"/>
          <w:sz w:val="36"/>
          <w:szCs w:val="36"/>
        </w:rPr>
        <w:t>minitenisu</w:t>
      </w:r>
      <w:proofErr w:type="spellEnd"/>
      <w:r w:rsidRPr="00B6279F">
        <w:rPr>
          <w:rFonts w:ascii="Arial" w:hAnsi="Arial" w:cs="Arial"/>
          <w:sz w:val="36"/>
          <w:szCs w:val="36"/>
        </w:rPr>
        <w:t>, organizovaných ČTS, startují hráči na základě individuální evidence v informačním systému (dále pouze IS) ČTS. Pro evidenci hráčů v IS ČTS slouží jejich rodná čísla, která však ČTS nezveřejňuje.</w:t>
      </w:r>
      <w:r w:rsidRPr="00B6279F">
        <w:rPr>
          <w:rFonts w:ascii="Arial" w:hAnsi="Arial" w:cs="Arial"/>
          <w:sz w:val="36"/>
          <w:szCs w:val="36"/>
        </w:rPr>
        <w:br/>
        <w:t>Formu organizace soutěží družstev určují oblastní tenisové svazy rozpisem soutěží, který nesmí být v rozporu s ustanoveními tohoto předpisu.</w:t>
      </w:r>
    </w:p>
    <w:p w:rsidR="001C6529" w:rsidRPr="00B6279F" w:rsidRDefault="001C6529" w:rsidP="001C6529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Družstvo nebo družstva mohou do soutěží přihlásit pouze kluby registrované u ČTS. </w:t>
      </w:r>
    </w:p>
    <w:p w:rsidR="00B6279F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Vítězná družstva jednotlivých oblastí si zajistí účast na Mistrovství ČR družstev </w:t>
      </w:r>
      <w:proofErr w:type="spellStart"/>
      <w:r w:rsidRPr="00B6279F">
        <w:rPr>
          <w:rFonts w:ascii="Arial" w:hAnsi="Arial" w:cs="Arial"/>
          <w:sz w:val="36"/>
          <w:szCs w:val="36"/>
        </w:rPr>
        <w:t>minitenisu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. </w:t>
      </w:r>
      <w:r w:rsidRPr="00B6279F">
        <w:rPr>
          <w:rFonts w:ascii="Arial" w:hAnsi="Arial" w:cs="Arial"/>
          <w:sz w:val="36"/>
          <w:szCs w:val="36"/>
        </w:rPr>
        <w:br/>
        <w:t xml:space="preserve">MČR družstev </w:t>
      </w:r>
      <w:proofErr w:type="spellStart"/>
      <w:r w:rsidRPr="00B6279F">
        <w:rPr>
          <w:rFonts w:ascii="Arial" w:hAnsi="Arial" w:cs="Arial"/>
          <w:sz w:val="36"/>
          <w:szCs w:val="36"/>
        </w:rPr>
        <w:t>minitenisu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B6279F">
        <w:rPr>
          <w:rFonts w:ascii="Arial" w:hAnsi="Arial" w:cs="Arial"/>
          <w:sz w:val="36"/>
          <w:szCs w:val="36"/>
        </w:rPr>
        <w:t>babytenisu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 vypisuje ČTS samostatným rozpisem. 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lastRenderedPageBreak/>
        <w:t xml:space="preserve">Družstvo startuje v soutěži na základě soupisky, kterou vytvoří kontaktní osoba klubu v IS ČTS nejpozději do konce března příslušného roku. 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Soupiska může být sestavena z chlapců a dívek v libovolném poměru. </w:t>
      </w:r>
      <w:r w:rsidRPr="00B6279F">
        <w:rPr>
          <w:rFonts w:ascii="Arial" w:hAnsi="Arial" w:cs="Arial"/>
          <w:sz w:val="36"/>
          <w:szCs w:val="36"/>
        </w:rPr>
        <w:br/>
        <w:t xml:space="preserve">Na soupisce každého družstva musí být zapsáni minimálně čtyři hráči/hráčky. Jejich maximální celkový počet je dvanáct. 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V soutěžích družstev </w:t>
      </w:r>
      <w:proofErr w:type="spellStart"/>
      <w:r w:rsidRPr="00B6279F">
        <w:rPr>
          <w:rFonts w:ascii="Arial" w:hAnsi="Arial" w:cs="Arial"/>
          <w:sz w:val="36"/>
          <w:szCs w:val="36"/>
        </w:rPr>
        <w:t>minitenisu</w:t>
      </w:r>
      <w:proofErr w:type="spellEnd"/>
      <w:r w:rsidR="005E2B28" w:rsidRPr="00B6279F">
        <w:rPr>
          <w:rFonts w:ascii="Arial" w:hAnsi="Arial" w:cs="Arial"/>
          <w:sz w:val="36"/>
          <w:szCs w:val="36"/>
        </w:rPr>
        <w:t xml:space="preserve"> </w:t>
      </w:r>
      <w:r w:rsidRPr="00B6279F">
        <w:rPr>
          <w:rFonts w:ascii="Arial" w:hAnsi="Arial" w:cs="Arial"/>
          <w:sz w:val="36"/>
          <w:szCs w:val="36"/>
        </w:rPr>
        <w:t>smí startovat pouze hráči, kteří mají české státní občanství.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Pořadí hráčů na soupisce určí mateřský klub, podle subjektivního posouzení výkonnosti a bez ohledu na to zda se jedná o chlapce nebo dívky. Toto pořadí zůstane po celou dobu trvání oblastní soutěže neměnné. Pro MČR je možno pořadí na soupisce změnit.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Na soupisku je možno během soutěže připisovat zaevidované hráče/hráčky. </w:t>
      </w:r>
      <w:r w:rsidRPr="00B6279F">
        <w:rPr>
          <w:rFonts w:ascii="Arial" w:hAnsi="Arial" w:cs="Arial"/>
          <w:sz w:val="36"/>
          <w:szCs w:val="36"/>
        </w:rPr>
        <w:br/>
        <w:t>Na soupisku však není možno připsat někoho, kdo již v dané sezóně figuruje nebo figuroval</w:t>
      </w:r>
      <w:r w:rsidRPr="00B6279F">
        <w:rPr>
          <w:rFonts w:ascii="Arial" w:hAnsi="Arial" w:cs="Arial"/>
          <w:sz w:val="36"/>
          <w:szCs w:val="36"/>
        </w:rPr>
        <w:br/>
        <w:t>na soupisce jiného klubu v téže věkové kategorii. Toto platí i pro mistrovství ČR družstev.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Pokud </w:t>
      </w:r>
      <w:proofErr w:type="gramStart"/>
      <w:r w:rsidRPr="00B6279F">
        <w:rPr>
          <w:rFonts w:ascii="Arial" w:hAnsi="Arial" w:cs="Arial"/>
          <w:sz w:val="36"/>
          <w:szCs w:val="36"/>
        </w:rPr>
        <w:t>má</w:t>
      </w:r>
      <w:proofErr w:type="gramEnd"/>
      <w:r w:rsidRPr="00B6279F">
        <w:rPr>
          <w:rFonts w:ascii="Arial" w:hAnsi="Arial" w:cs="Arial"/>
          <w:sz w:val="36"/>
          <w:szCs w:val="36"/>
        </w:rPr>
        <w:t xml:space="preserve"> jeden klub v soutěži družstev jedné věkové kategorie přihlášeno více družstev </w:t>
      </w:r>
      <w:proofErr w:type="gramStart"/>
      <w:r w:rsidRPr="00B6279F">
        <w:rPr>
          <w:rFonts w:ascii="Arial" w:hAnsi="Arial" w:cs="Arial"/>
          <w:sz w:val="36"/>
          <w:szCs w:val="36"/>
        </w:rPr>
        <w:t>platí</w:t>
      </w:r>
      <w:proofErr w:type="gramEnd"/>
      <w:r w:rsidRPr="00B6279F">
        <w:rPr>
          <w:rFonts w:ascii="Arial" w:hAnsi="Arial" w:cs="Arial"/>
          <w:sz w:val="36"/>
          <w:szCs w:val="36"/>
        </w:rPr>
        <w:t>, že první čtyři hráči „A“ družstva nesmí být zapsání na soupisku „B“ družstva.</w:t>
      </w:r>
    </w:p>
    <w:p w:rsidR="001C6529" w:rsidRPr="00B6279F" w:rsidRDefault="001C6529" w:rsidP="001C6529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Každé družstvo musí mít svého kapitána, který je při utkání družstev jediným partnerem pro kapitána družstva soupeře, případně vrchního nebo hlavního rozhodčího. Povinností kapitána domácího (pořádajícího) klubu je </w:t>
      </w:r>
      <w:r w:rsidR="005E2B28" w:rsidRPr="00B6279F">
        <w:rPr>
          <w:rFonts w:ascii="Arial" w:hAnsi="Arial" w:cs="Arial"/>
          <w:sz w:val="36"/>
          <w:szCs w:val="36"/>
        </w:rPr>
        <w:t xml:space="preserve">předat </w:t>
      </w:r>
      <w:r w:rsidRPr="00B6279F">
        <w:rPr>
          <w:rFonts w:ascii="Arial" w:hAnsi="Arial" w:cs="Arial"/>
          <w:sz w:val="36"/>
          <w:szCs w:val="36"/>
        </w:rPr>
        <w:t xml:space="preserve">výsledky </w:t>
      </w:r>
      <w:proofErr w:type="gramStart"/>
      <w:r w:rsidRPr="00B6279F">
        <w:rPr>
          <w:rFonts w:ascii="Arial" w:hAnsi="Arial" w:cs="Arial"/>
          <w:sz w:val="36"/>
          <w:szCs w:val="36"/>
        </w:rPr>
        <w:t xml:space="preserve">utkání </w:t>
      </w:r>
      <w:r w:rsidR="005E2B28" w:rsidRPr="00B6279F">
        <w:rPr>
          <w:rFonts w:ascii="Arial" w:hAnsi="Arial" w:cs="Arial"/>
          <w:sz w:val="36"/>
          <w:szCs w:val="36"/>
        </w:rPr>
        <w:t xml:space="preserve"> správci</w:t>
      </w:r>
      <w:proofErr w:type="gramEnd"/>
      <w:r w:rsidR="005E2B28" w:rsidRPr="00B6279F">
        <w:rPr>
          <w:rFonts w:ascii="Arial" w:hAnsi="Arial" w:cs="Arial"/>
          <w:sz w:val="36"/>
          <w:szCs w:val="36"/>
        </w:rPr>
        <w:t xml:space="preserve"> klubu, který je zadá </w:t>
      </w:r>
      <w:r w:rsidRPr="00B6279F">
        <w:rPr>
          <w:rFonts w:ascii="Arial" w:hAnsi="Arial" w:cs="Arial"/>
          <w:sz w:val="36"/>
          <w:szCs w:val="36"/>
        </w:rPr>
        <w:t>do IS ČTS nejpozději do 48 hodin od skončení utkání.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lastRenderedPageBreak/>
        <w:t xml:space="preserve">Hraje se podle pravidel </w:t>
      </w:r>
      <w:proofErr w:type="spellStart"/>
      <w:r w:rsidRPr="00B6279F">
        <w:rPr>
          <w:rFonts w:ascii="Arial" w:hAnsi="Arial" w:cs="Arial"/>
          <w:sz w:val="36"/>
          <w:szCs w:val="36"/>
        </w:rPr>
        <w:t>minitenisu</w:t>
      </w:r>
      <w:proofErr w:type="spellEnd"/>
      <w:r w:rsidRPr="00B6279F">
        <w:rPr>
          <w:rFonts w:ascii="Arial" w:hAnsi="Arial" w:cs="Arial"/>
          <w:sz w:val="36"/>
          <w:szCs w:val="36"/>
        </w:rPr>
        <w:t>. Každé utkání na dva vítězné sety.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Družstva jsou vždy čtyřčlenná. Chlapci a dívky hrají společně. Poměr počtu chlapců a dívek ve družstvu je zcela libovolný.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Kapitáni obou družstev napíší před začátkem utkání zápis o utkání, ve kterém musí být zachováno pořadí hráčů dle obou soupisek. Kapitán však může libovolného hráče přeskočit.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Hráči nastoupí k zápasům dle zápisu o utkání celkem k osmi dvouhrám a to následujícím způsobem:</w:t>
      </w:r>
      <w:r w:rsidRPr="00B6279F">
        <w:rPr>
          <w:rFonts w:ascii="Arial" w:hAnsi="Arial" w:cs="Arial"/>
          <w:sz w:val="36"/>
          <w:szCs w:val="36"/>
        </w:rPr>
        <w:br/>
        <w:t xml:space="preserve">Nejdříve čtyři dvouhry 1-1, 2-2, 3-3, 4-4. </w:t>
      </w:r>
      <w:r w:rsidRPr="00B6279F">
        <w:rPr>
          <w:rFonts w:ascii="Arial" w:hAnsi="Arial" w:cs="Arial"/>
          <w:sz w:val="36"/>
          <w:szCs w:val="36"/>
        </w:rPr>
        <w:br/>
        <w:t>Po jejich odehrání může kapitán kteréhokoliv hráče nebo hráčku vystřídat. Střídající hráč/hráčka zaujme pozici vystřídaného hráče/hráčky (soupiska se neposouvá)</w:t>
      </w:r>
      <w:r w:rsidRPr="00B6279F">
        <w:rPr>
          <w:rFonts w:ascii="Arial" w:hAnsi="Arial" w:cs="Arial"/>
          <w:sz w:val="36"/>
          <w:szCs w:val="36"/>
        </w:rPr>
        <w:br/>
        <w:t>Následují další čtyři dvouhry 1-2, 2-1, 3-4, 4-3.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Pokud je po odehrání osmi dvouher stav nerozhodný 4:4 o vítězi rozhoduje:</w:t>
      </w:r>
      <w:r w:rsidRPr="00B6279F">
        <w:rPr>
          <w:rFonts w:ascii="Arial" w:hAnsi="Arial" w:cs="Arial"/>
          <w:sz w:val="36"/>
          <w:szCs w:val="36"/>
        </w:rPr>
        <w:br/>
        <w:t>1. rozdíl vyhraných a prohraných sad.</w:t>
      </w:r>
      <w:r w:rsidRPr="00B6279F">
        <w:rPr>
          <w:rFonts w:ascii="Arial" w:hAnsi="Arial" w:cs="Arial"/>
          <w:sz w:val="36"/>
          <w:szCs w:val="36"/>
        </w:rPr>
        <w:br/>
        <w:t xml:space="preserve">2. rozdíl celkového počtu vyhraných a prohraných míčů. </w:t>
      </w:r>
      <w:r w:rsidRPr="00B6279F">
        <w:rPr>
          <w:rFonts w:ascii="Arial" w:hAnsi="Arial" w:cs="Arial"/>
          <w:sz w:val="36"/>
          <w:szCs w:val="36"/>
        </w:rPr>
        <w:br/>
        <w:t xml:space="preserve">3. vzájemný zápas prvních hráčů družstva podle zápisu o utkání. 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Míče zajišťuje domácí (pořádající) družstvo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Utkání řídí společně oba kapitáni. </w:t>
      </w:r>
    </w:p>
    <w:p w:rsidR="001C6529" w:rsidRPr="00B6279F" w:rsidRDefault="001C6529" w:rsidP="005E2B28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Všechny soutěže jednotlivců v kategorii </w:t>
      </w:r>
      <w:proofErr w:type="spellStart"/>
      <w:r w:rsidRPr="00B6279F">
        <w:rPr>
          <w:rFonts w:ascii="Arial" w:hAnsi="Arial" w:cs="Arial"/>
          <w:sz w:val="36"/>
          <w:szCs w:val="36"/>
        </w:rPr>
        <w:t>minitenis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 hrají hoši a dívky společně.</w:t>
      </w:r>
      <w:r w:rsidRPr="00B6279F">
        <w:rPr>
          <w:rFonts w:ascii="Arial" w:hAnsi="Arial" w:cs="Arial"/>
          <w:sz w:val="36"/>
          <w:szCs w:val="36"/>
        </w:rPr>
        <w:br/>
        <w:t xml:space="preserve">Jednotliví hráči se na turnaje přihlašují prostřednictvím IS ČTS, na základě své individuální evidence v IS ČTS. </w:t>
      </w:r>
    </w:p>
    <w:p w:rsidR="001C6529" w:rsidRPr="00B6279F" w:rsidRDefault="00B6279F" w:rsidP="00B6279F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lastRenderedPageBreak/>
        <w:t>Hráči, n</w:t>
      </w:r>
      <w:r w:rsidR="001C6529" w:rsidRPr="00B6279F">
        <w:rPr>
          <w:rFonts w:ascii="Arial" w:hAnsi="Arial" w:cs="Arial"/>
          <w:sz w:val="36"/>
          <w:szCs w:val="36"/>
        </w:rPr>
        <w:t xml:space="preserve">ejdříve sehrají zápasy ve skupinách a následně zápasy o celkové umístění. </w:t>
      </w:r>
      <w:r w:rsidR="001C6529" w:rsidRPr="00B6279F">
        <w:rPr>
          <w:rFonts w:ascii="Arial" w:hAnsi="Arial" w:cs="Arial"/>
          <w:sz w:val="36"/>
          <w:szCs w:val="36"/>
        </w:rPr>
        <w:br/>
        <w:t xml:space="preserve">Přesný hrací systém určí pořadatel. </w:t>
      </w:r>
      <w:r w:rsidR="001C6529" w:rsidRPr="00B6279F">
        <w:rPr>
          <w:rFonts w:ascii="Arial" w:hAnsi="Arial" w:cs="Arial"/>
          <w:sz w:val="36"/>
          <w:szCs w:val="36"/>
        </w:rPr>
        <w:br/>
        <w:t>Pořadatel je povinen s tímto hracím systémem seznámit všechny účastníky před zahájením turnaje.</w:t>
      </w:r>
      <w:r w:rsidR="001C6529" w:rsidRPr="00B6279F">
        <w:rPr>
          <w:rFonts w:ascii="Arial" w:hAnsi="Arial" w:cs="Arial"/>
          <w:sz w:val="36"/>
          <w:szCs w:val="36"/>
        </w:rPr>
        <w:br/>
        <w:t>Losování probíhá vždy při zahájení turnaje ze všech přítomných hráčů.</w:t>
      </w:r>
      <w:r w:rsidR="001C6529" w:rsidRPr="00B6279F">
        <w:rPr>
          <w:rFonts w:ascii="Arial" w:hAnsi="Arial" w:cs="Arial"/>
          <w:sz w:val="36"/>
          <w:szCs w:val="36"/>
        </w:rPr>
        <w:br/>
        <w:t>Hráči jsou rozlosováni do skupin na základě náhodného výběru. Vzhledem k neexistenci žebříčku, nejsou hráči nijak nasazováni. Postupový klíč z jednotlivých skupin musí být určen před vylosováním turnaje.</w:t>
      </w:r>
    </w:p>
    <w:p w:rsidR="001C6529" w:rsidRPr="00B6279F" w:rsidRDefault="001C6529" w:rsidP="00B6279F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>Při turnajích v </w:t>
      </w:r>
      <w:proofErr w:type="spellStart"/>
      <w:r w:rsidRPr="00B6279F">
        <w:rPr>
          <w:rFonts w:ascii="Arial" w:hAnsi="Arial" w:cs="Arial"/>
          <w:sz w:val="36"/>
          <w:szCs w:val="36"/>
        </w:rPr>
        <w:t>minitenise</w:t>
      </w:r>
      <w:proofErr w:type="spellEnd"/>
      <w:r w:rsidRPr="00B6279F">
        <w:rPr>
          <w:rFonts w:ascii="Arial" w:hAnsi="Arial" w:cs="Arial"/>
          <w:sz w:val="36"/>
          <w:szCs w:val="36"/>
        </w:rPr>
        <w:t xml:space="preserve"> oznámí pořadatel před zahájením, zda se jednotlivá utkání budou hrát na jeden nebo na dva vítězné sety (pravidla povolují obě možnosti). </w:t>
      </w:r>
    </w:p>
    <w:p w:rsidR="001C6529" w:rsidRPr="00B6279F" w:rsidRDefault="001C6529" w:rsidP="00B6279F">
      <w:pPr>
        <w:pStyle w:val="Normln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6279F">
        <w:rPr>
          <w:rFonts w:ascii="Arial" w:hAnsi="Arial" w:cs="Arial"/>
          <w:sz w:val="36"/>
          <w:szCs w:val="36"/>
        </w:rPr>
        <w:t xml:space="preserve">Turnaj řídí pořadatel turnaje, který může současně zastávat funkci vrchního rozhodčího. </w:t>
      </w:r>
    </w:p>
    <w:sectPr w:rsidR="001C6529" w:rsidRPr="00B6279F" w:rsidSect="007F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70FA"/>
    <w:multiLevelType w:val="hybridMultilevel"/>
    <w:tmpl w:val="FFA63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F2AE3"/>
    <w:multiLevelType w:val="hybridMultilevel"/>
    <w:tmpl w:val="5EBE25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3451E"/>
    <w:multiLevelType w:val="hybridMultilevel"/>
    <w:tmpl w:val="E6C2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D6D9A"/>
    <w:multiLevelType w:val="hybridMultilevel"/>
    <w:tmpl w:val="E572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9ED"/>
    <w:rsid w:val="00013DFE"/>
    <w:rsid w:val="000749ED"/>
    <w:rsid w:val="001C6529"/>
    <w:rsid w:val="005E2B28"/>
    <w:rsid w:val="007F7B4A"/>
    <w:rsid w:val="00840917"/>
    <w:rsid w:val="008651FC"/>
    <w:rsid w:val="008D3E18"/>
    <w:rsid w:val="00A37B6A"/>
    <w:rsid w:val="00B6279F"/>
    <w:rsid w:val="00D7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4A"/>
  </w:style>
  <w:style w:type="paragraph" w:styleId="Nadpis1">
    <w:name w:val="heading 1"/>
    <w:basedOn w:val="Normln"/>
    <w:link w:val="Nadpis1Char"/>
    <w:uiPriority w:val="9"/>
    <w:qFormat/>
    <w:rsid w:val="00074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74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49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49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49E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1F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6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689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966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tenis.cz/" TargetMode="External"/><Relationship Id="rId5" Type="http://schemas.openxmlformats.org/officeDocument/2006/relationships/hyperlink" Target="http://www.miniteni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2017-01-27T13:40:00Z</cp:lastPrinted>
  <dcterms:created xsi:type="dcterms:W3CDTF">2017-01-27T13:43:00Z</dcterms:created>
  <dcterms:modified xsi:type="dcterms:W3CDTF">2017-01-27T13:43:00Z</dcterms:modified>
</cp:coreProperties>
</file>